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ayout w:type="fixed"/>
        <w:tblLook w:val="0000"/>
      </w:tblPr>
      <w:tblGrid>
        <w:gridCol w:w="4253"/>
        <w:gridCol w:w="5103"/>
      </w:tblGrid>
      <w:tr w:rsidR="00AF62D1" w:rsidRPr="00AE435F" w:rsidTr="006173A1">
        <w:tc>
          <w:tcPr>
            <w:tcW w:w="4253" w:type="dxa"/>
          </w:tcPr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3" w:type="dxa"/>
          </w:tcPr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E435F">
              <w:t>Утвержден</w:t>
            </w: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E435F">
              <w:t xml:space="preserve">Решением общего собрания участников </w:t>
            </w:r>
          </w:p>
          <w:p w:rsidR="00AF62D1" w:rsidRPr="005235F2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5235F2">
              <w:rPr>
                <w:b/>
                <w:i/>
                <w:sz w:val="22"/>
                <w:szCs w:val="22"/>
              </w:rPr>
              <w:t>ООО Управляющая компания</w:t>
            </w:r>
          </w:p>
          <w:p w:rsidR="00AF62D1" w:rsidRPr="005235F2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5235F2">
              <w:rPr>
                <w:b/>
                <w:i/>
                <w:sz w:val="22"/>
                <w:szCs w:val="22"/>
              </w:rPr>
              <w:t xml:space="preserve"> "ОЛМА-ФИНАНС"</w:t>
            </w: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E435F">
              <w:t>Протокол от</w:t>
            </w:r>
            <w:r>
              <w:t xml:space="preserve"> </w:t>
            </w:r>
            <w:r w:rsidRPr="00C264EA">
              <w:rPr>
                <w:b/>
                <w:i/>
                <w:sz w:val="22"/>
                <w:szCs w:val="22"/>
              </w:rPr>
              <w:t>б/н</w:t>
            </w:r>
            <w:r w:rsidRPr="00AE435F">
              <w:t xml:space="preserve"> </w:t>
            </w:r>
            <w:r w:rsidRPr="002901D2">
              <w:rPr>
                <w:b/>
                <w:i/>
                <w:sz w:val="22"/>
                <w:szCs w:val="22"/>
              </w:rPr>
              <w:t>06.11.2014</w:t>
            </w:r>
            <w:r>
              <w:t xml:space="preserve"> </w:t>
            </w: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E435F">
              <w:t xml:space="preserve">Введен в действие с </w:t>
            </w:r>
            <w:r w:rsidRPr="002901D2">
              <w:rPr>
                <w:b/>
                <w:i/>
                <w:sz w:val="22"/>
                <w:szCs w:val="22"/>
              </w:rPr>
              <w:t>06.11.2014</w:t>
            </w: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E435F">
              <w:t>Приказом Генерального директора</w:t>
            </w:r>
          </w:p>
          <w:p w:rsidR="00AF62D1" w:rsidRPr="005235F2" w:rsidRDefault="00AF62D1" w:rsidP="003D01B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5235F2">
              <w:rPr>
                <w:b/>
                <w:i/>
                <w:sz w:val="22"/>
                <w:szCs w:val="22"/>
              </w:rPr>
              <w:t>ООО Управляющая компания</w:t>
            </w:r>
          </w:p>
          <w:p w:rsidR="00AF62D1" w:rsidRDefault="00AF62D1" w:rsidP="003D01B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235F2">
              <w:rPr>
                <w:b/>
                <w:i/>
                <w:sz w:val="22"/>
                <w:szCs w:val="22"/>
              </w:rPr>
              <w:t xml:space="preserve"> "ОЛМА-ФИНАНС</w:t>
            </w:r>
            <w:r w:rsidRPr="00AE435F">
              <w:t xml:space="preserve"> </w:t>
            </w:r>
          </w:p>
          <w:p w:rsidR="00AF62D1" w:rsidRPr="00AE435F" w:rsidRDefault="00AF62D1" w:rsidP="003D01B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E435F">
              <w:t xml:space="preserve">от </w:t>
            </w:r>
            <w:r w:rsidRPr="002901D2">
              <w:rPr>
                <w:b/>
                <w:i/>
                <w:sz w:val="22"/>
                <w:szCs w:val="22"/>
              </w:rPr>
              <w:t>06.11.2014</w:t>
            </w:r>
            <w:r w:rsidRPr="00AE435F">
              <w:t xml:space="preserve">  </w:t>
            </w:r>
            <w:r w:rsidRPr="00507489">
              <w:rPr>
                <w:b/>
                <w:i/>
                <w:sz w:val="22"/>
                <w:szCs w:val="22"/>
              </w:rPr>
              <w:t>№13</w:t>
            </w:r>
          </w:p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AF62D1" w:rsidRPr="00AE435F" w:rsidTr="006173A1">
        <w:tc>
          <w:tcPr>
            <w:tcW w:w="4253" w:type="dxa"/>
          </w:tcPr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3" w:type="dxa"/>
          </w:tcPr>
          <w:p w:rsidR="00AF62D1" w:rsidRPr="00AE435F" w:rsidRDefault="00AF62D1" w:rsidP="006173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AF62D1" w:rsidRDefault="00AF62D1" w:rsidP="00603873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F62D1" w:rsidRDefault="00AF62D1" w:rsidP="00603873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AF62D1" w:rsidRDefault="00AF62D1" w:rsidP="00603873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Перечень информации, </w:t>
      </w:r>
    </w:p>
    <w:p w:rsidR="00AF62D1" w:rsidRDefault="00AF62D1" w:rsidP="00603873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относящейся к инсайдерской информации</w:t>
      </w:r>
    </w:p>
    <w:p w:rsidR="00AF62D1" w:rsidRDefault="00AF62D1" w:rsidP="00603873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Общества с ограниченной ответственностью </w:t>
      </w:r>
      <w:r w:rsidRPr="008E1431">
        <w:rPr>
          <w:b/>
          <w:i/>
          <w:sz w:val="22"/>
          <w:szCs w:val="22"/>
        </w:rPr>
        <w:t>"Управляющая компания "ОЛМА-ФИНАНС"</w:t>
      </w:r>
    </w:p>
    <w:p w:rsidR="00AF62D1" w:rsidRDefault="00AF62D1" w:rsidP="001248D3">
      <w:pPr>
        <w:pStyle w:val="ConsPlusNormal"/>
        <w:ind w:firstLine="540"/>
        <w:jc w:val="both"/>
      </w:pPr>
    </w:p>
    <w:p w:rsidR="00AF62D1" w:rsidRDefault="00AF62D1" w:rsidP="0096057C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Настоящий перечень информации, относящийся к инсайдерской информации </w:t>
      </w:r>
      <w:r w:rsidRPr="008E1431">
        <w:rPr>
          <w:b/>
          <w:i/>
          <w:sz w:val="22"/>
          <w:szCs w:val="22"/>
        </w:rPr>
        <w:t>Общества с ограниченной ответственностью "Управляющая компания "ОЛМА-ФИНАНС"</w:t>
      </w:r>
      <w:r>
        <w:rPr>
          <w:sz w:val="22"/>
          <w:szCs w:val="22"/>
        </w:rPr>
        <w:t xml:space="preserve"> (далее – Перечень) разработан в соответствии с требованиями Федерального закона от 27.07.2010 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и иными нормативными актами в области финансовых рынков.</w:t>
      </w:r>
    </w:p>
    <w:p w:rsidR="00AF62D1" w:rsidRDefault="00AF62D1" w:rsidP="00C43B5F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1. К инсайдерской информации </w:t>
      </w:r>
      <w:r w:rsidRPr="008E1431">
        <w:rPr>
          <w:b/>
          <w:i/>
          <w:sz w:val="22"/>
          <w:szCs w:val="22"/>
        </w:rPr>
        <w:t>Общества с ограниченной ответственностью "Управляющая компания "ОЛМА-ФИНАНС"</w:t>
      </w:r>
      <w:r>
        <w:rPr>
          <w:sz w:val="22"/>
          <w:szCs w:val="22"/>
        </w:rPr>
        <w:t xml:space="preserve">, как управляющей компании паевых инвестиционных фондов (далее также – </w:t>
      </w:r>
      <w:r w:rsidRPr="00CE30FD">
        <w:rPr>
          <w:b/>
          <w:sz w:val="22"/>
          <w:szCs w:val="22"/>
        </w:rPr>
        <w:t>управляющая компания</w:t>
      </w:r>
      <w:r>
        <w:rPr>
          <w:sz w:val="22"/>
          <w:szCs w:val="22"/>
        </w:rPr>
        <w:t>) относится следующая информация: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0" w:name="Par1"/>
      <w:bookmarkEnd w:id="0"/>
      <w:r w:rsidRPr="00E4664E">
        <w:rPr>
          <w:sz w:val="22"/>
          <w:szCs w:val="22"/>
        </w:rPr>
        <w:t>1.1. О стоимости чистых активов и расчетной стоимости инвестиционного пая паевого инвестиционного фонда, если соблюдаются условия, предусмотренные пунктом 2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4664E">
        <w:rPr>
          <w:sz w:val="22"/>
          <w:szCs w:val="22"/>
        </w:rPr>
        <w:t>1.2. О принятии управляющей компанией решения о выдаче дополнительных инвестиционных паев и о начале срока приема заявок на приобретение дополнительных инвестиционных паев закрытого паевого инвестиционного фонда, если соблюдаются условия, предусмотренные пунктом 2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1" w:name="Par3"/>
      <w:bookmarkEnd w:id="1"/>
      <w:r w:rsidRPr="00E4664E">
        <w:rPr>
          <w:sz w:val="22"/>
          <w:szCs w:val="22"/>
        </w:rPr>
        <w:t>1.3. О принятии управляющей компанией следующих решений, если соблюдаются условия, предусмотренные пунктом 2 настоящего Перечня: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4664E">
        <w:rPr>
          <w:sz w:val="22"/>
          <w:szCs w:val="22"/>
        </w:rPr>
        <w:t>о приостановлении выдачи инвестиционных паев или о приостановлении выдачи, погашения и обмена инвестиционных паев паевого инвестиционного фонда;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E4664E">
        <w:rPr>
          <w:sz w:val="22"/>
          <w:szCs w:val="22"/>
        </w:rPr>
        <w:t>о возобновлении выдачи или о возобновлении выдачи, погашения и обмена инвестиционных паев паевого инвестиционного фонда.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2" w:name="Par6"/>
      <w:bookmarkEnd w:id="2"/>
      <w:r w:rsidRPr="00E4664E">
        <w:rPr>
          <w:sz w:val="22"/>
          <w:szCs w:val="22"/>
        </w:rPr>
        <w:t>1.4. О принятии работниками управляющей компании решений, связанных с совершением сделок за счет имущества, составляющего паевой инвестиционный фонд, если соблюдаются условия, предусмотренные пунктом 3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3" w:name="Par7"/>
      <w:bookmarkEnd w:id="3"/>
      <w:r w:rsidRPr="00E4664E">
        <w:rPr>
          <w:sz w:val="22"/>
          <w:szCs w:val="22"/>
        </w:rPr>
        <w:t>1.5. О сумме дохода по одному инвестиционному паю закрытого паевого инвестиционного фонда, подлежащего выплате, если соблюдаются условия, предусмотренные пунктом 2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4" w:name="Par8"/>
      <w:bookmarkEnd w:id="4"/>
      <w:r w:rsidRPr="00E4664E">
        <w:rPr>
          <w:sz w:val="22"/>
          <w:szCs w:val="22"/>
        </w:rPr>
        <w:t>1.6. Содержащаяся во внутреннем документе управляющей компании, устанавливающем правила определения стоимости активов паевого инвестиционного фонда и величины обязательств, подлежащих исполнению за счет указанных активов, если соблюдаются условия, предусмотренные пунктом 3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5" w:name="Par9"/>
      <w:bookmarkEnd w:id="5"/>
      <w:r w:rsidRPr="00E4664E">
        <w:rPr>
          <w:sz w:val="22"/>
          <w:szCs w:val="22"/>
        </w:rPr>
        <w:t>1.7. О проекте строительства объекта недвижимости, финансирование которого осуществляется за счет закрытого паевого инвестиционного фонда, в состав которого входят имущественные права по обязательствам из договора участия в долевом строительстве, на основании которого осуществляется такое финансирование, если соблюдаются условия, предусмотренные пунктом 3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6" w:name="Par10"/>
      <w:bookmarkEnd w:id="6"/>
      <w:r w:rsidRPr="00E4664E">
        <w:rPr>
          <w:sz w:val="22"/>
          <w:szCs w:val="22"/>
        </w:rPr>
        <w:t>1.8. О принятых управляющей компанией заявках на погашение или обмен 25 или более процентов инвестиционных паев паевого инвестиционного фонда, если соблюдаются условия, предусмотренные пунктом 2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7" w:name="Par11"/>
      <w:bookmarkEnd w:id="7"/>
      <w:r w:rsidRPr="00E4664E">
        <w:rPr>
          <w:sz w:val="22"/>
          <w:szCs w:val="22"/>
        </w:rPr>
        <w:t>1.9. О наступлении оснований для прекращения паевого инвестиционного фонда, если соблюдаются условия, предусмотренные пунктом 3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8" w:name="Par12"/>
      <w:bookmarkEnd w:id="8"/>
      <w:r w:rsidRPr="00E4664E">
        <w:rPr>
          <w:sz w:val="22"/>
          <w:szCs w:val="22"/>
        </w:rPr>
        <w:t>1.10. Об активах, составляющих паевой инвестиционный фонд, и их доле в составе имущества паевого инвестиционного фонда, если соблюдаются условия, предусмотренные пунктом 3 настоящего Перечня.</w:t>
      </w: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9" w:name="Par13"/>
      <w:bookmarkEnd w:id="9"/>
      <w:r w:rsidRPr="00E4664E">
        <w:rPr>
          <w:sz w:val="22"/>
          <w:szCs w:val="22"/>
        </w:rPr>
        <w:t>2. Информация, касающаяся инвестиционных паев паевых инвестиционных фондов, предусмотренная подпунктами 1.1 - 1.3, 1.5 и 1.8 пункта 1 настоящего Перечня, относ</w:t>
      </w:r>
      <w:r>
        <w:rPr>
          <w:sz w:val="22"/>
          <w:szCs w:val="22"/>
        </w:rPr>
        <w:t>ится к инсайдерской информации у</w:t>
      </w:r>
      <w:r w:rsidRPr="00E4664E">
        <w:rPr>
          <w:sz w:val="22"/>
          <w:szCs w:val="22"/>
        </w:rPr>
        <w:t>правляющей компании в случае, если указанные инвестиционные паи допущены к организованным торгам или в отношении них подана заявка о допуске к организованным торгам.</w:t>
      </w:r>
    </w:p>
    <w:p w:rsidR="00AF62D1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10" w:name="Par14"/>
      <w:bookmarkEnd w:id="10"/>
      <w:r w:rsidRPr="00E4664E">
        <w:rPr>
          <w:sz w:val="22"/>
          <w:szCs w:val="22"/>
        </w:rPr>
        <w:t>3 Информация, касающаяся паевых инвестиционных фондов, предусмотренная подпунктами 1.4, 1.6, 1.7, 1.9 и 1.10 пункта 1 настоящего Перечня, относ</w:t>
      </w:r>
      <w:r>
        <w:rPr>
          <w:sz w:val="22"/>
          <w:szCs w:val="22"/>
        </w:rPr>
        <w:t>ится к инсайдерской информации у</w:t>
      </w:r>
      <w:r w:rsidRPr="00E4664E">
        <w:rPr>
          <w:sz w:val="22"/>
          <w:szCs w:val="22"/>
        </w:rPr>
        <w:t>правляющей компании в случае, если инвестиционные паи указанных паевых инвестиционных фондов допущены к организованным торгам или в отношении инвестиционных паев указанных паевых инвестиционных фондов подана заявка об их допуске к организованным торгам.</w:t>
      </w:r>
    </w:p>
    <w:p w:rsidR="00AF62D1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4. К инсайдерской информации </w:t>
      </w:r>
      <w:r w:rsidRPr="008E1431">
        <w:rPr>
          <w:b/>
          <w:i/>
          <w:sz w:val="22"/>
          <w:szCs w:val="22"/>
        </w:rPr>
        <w:t>Общества с ограниченной ответственностью "Управляющая компания "ОЛМА-ФИНАНС"</w:t>
      </w:r>
      <w:r>
        <w:rPr>
          <w:sz w:val="22"/>
          <w:szCs w:val="22"/>
        </w:rPr>
        <w:t xml:space="preserve">, как профессионального участника рынка ценных бумаг, осуществляющего деятельность по управлению ценными бумагами (далее также – </w:t>
      </w:r>
      <w:r w:rsidRPr="00CE30FD">
        <w:rPr>
          <w:b/>
          <w:sz w:val="22"/>
          <w:szCs w:val="22"/>
        </w:rPr>
        <w:t>профессиональный участник рынка ценных бумаг</w:t>
      </w:r>
      <w:r>
        <w:rPr>
          <w:sz w:val="22"/>
          <w:szCs w:val="22"/>
        </w:rPr>
        <w:t>) относится следующая информация:</w:t>
      </w:r>
    </w:p>
    <w:p w:rsidR="00AF62D1" w:rsidRDefault="00AF62D1" w:rsidP="0096481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64817">
        <w:rPr>
          <w:sz w:val="22"/>
          <w:szCs w:val="22"/>
        </w:rPr>
        <w:t>4.1. Составляющая существенные условия договоров доверительного управления, связанные с совершением сделок с ценными бумагами и (или) заключением договоров, являющихся производными финансовыми инструментами, в случае,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 и в отношении таких ценных бумаг соблюдаются условия, предусмотренные пунктом 5 настоящего Перечня.</w:t>
      </w:r>
    </w:p>
    <w:p w:rsidR="00AF62D1" w:rsidRPr="00406D42" w:rsidRDefault="00AF62D1" w:rsidP="00406D42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406D42">
        <w:rPr>
          <w:sz w:val="22"/>
          <w:szCs w:val="22"/>
        </w:rPr>
        <w:t xml:space="preserve">Инсайдерской информацией, содержащейся в подлежащих </w:t>
      </w:r>
      <w:r>
        <w:rPr>
          <w:sz w:val="22"/>
          <w:szCs w:val="22"/>
        </w:rPr>
        <w:t>исполнению условиях договоров доверительного управления</w:t>
      </w:r>
      <w:r w:rsidRPr="00406D42">
        <w:rPr>
          <w:sz w:val="22"/>
          <w:szCs w:val="22"/>
        </w:rPr>
        <w:t xml:space="preserve">, указанных в абзаце первом пункта 4.1. настоящего Перечня, является информация о цене и объеме (количестве) ценных бумаг, договоров, являющихся производными финансовыми инструментами, действиях, которые должны быть осуществлены во исполнение </w:t>
      </w:r>
      <w:r>
        <w:rPr>
          <w:sz w:val="22"/>
          <w:szCs w:val="22"/>
        </w:rPr>
        <w:t xml:space="preserve">договора доверительного управления </w:t>
      </w:r>
      <w:r w:rsidRPr="00406D42">
        <w:rPr>
          <w:sz w:val="22"/>
          <w:szCs w:val="22"/>
        </w:rPr>
        <w:t>(приобретение (покупка) или отчуждение (продажа), заключение договора (договоров), являющегося производным финансовым инструментом).</w:t>
      </w:r>
    </w:p>
    <w:p w:rsidR="00AF62D1" w:rsidRPr="00CE30FD" w:rsidRDefault="00AF62D1" w:rsidP="00CE30FD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CE30FD">
        <w:rPr>
          <w:sz w:val="22"/>
          <w:szCs w:val="22"/>
        </w:rPr>
        <w:t xml:space="preserve">Информация, касающаяся определенных ценных бумаг, предусмотренная пунктом 4.1 настоящего </w:t>
      </w:r>
      <w:r>
        <w:rPr>
          <w:sz w:val="22"/>
          <w:szCs w:val="22"/>
        </w:rPr>
        <w:t>Перечня</w:t>
      </w:r>
      <w:r w:rsidRPr="00CE30FD">
        <w:rPr>
          <w:sz w:val="22"/>
          <w:szCs w:val="22"/>
        </w:rPr>
        <w:t xml:space="preserve">, относится к инсайдерской информации </w:t>
      </w:r>
      <w:r>
        <w:rPr>
          <w:sz w:val="22"/>
          <w:szCs w:val="22"/>
        </w:rPr>
        <w:t>профессионального участника</w:t>
      </w:r>
      <w:r w:rsidRPr="00CE30FD">
        <w:rPr>
          <w:sz w:val="22"/>
          <w:szCs w:val="22"/>
        </w:rPr>
        <w:t xml:space="preserve"> ры</w:t>
      </w:r>
      <w:r>
        <w:rPr>
          <w:sz w:val="22"/>
          <w:szCs w:val="22"/>
        </w:rPr>
        <w:t>нка ценных бумаг, осуществляющего</w:t>
      </w:r>
      <w:r w:rsidRPr="00CE30FD">
        <w:rPr>
          <w:sz w:val="22"/>
          <w:szCs w:val="22"/>
        </w:rPr>
        <w:t xml:space="preserve"> в интересах клиентов операции с финансовыми инструментами, в случае,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торгам.</w:t>
      </w:r>
    </w:p>
    <w:p w:rsidR="00AF62D1" w:rsidRPr="00964817" w:rsidRDefault="00AF62D1" w:rsidP="00964817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:rsidR="00AF62D1" w:rsidRPr="00E4664E" w:rsidRDefault="00AF62D1" w:rsidP="00E4664E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bookmarkStart w:id="11" w:name="_GoBack"/>
      <w:bookmarkEnd w:id="11"/>
    </w:p>
    <w:sectPr w:rsidR="00AF62D1" w:rsidRPr="00E4664E" w:rsidSect="00603873">
      <w:footerReference w:type="default" r:id="rId6"/>
      <w:pgSz w:w="11906" w:h="16838"/>
      <w:pgMar w:top="709" w:right="566" w:bottom="144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D1" w:rsidRDefault="00AF62D1" w:rsidP="00024151">
      <w:r>
        <w:separator/>
      </w:r>
    </w:p>
  </w:endnote>
  <w:endnote w:type="continuationSeparator" w:id="0">
    <w:p w:rsidR="00AF62D1" w:rsidRDefault="00AF62D1" w:rsidP="00024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D1" w:rsidRDefault="00AF62D1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F62D1" w:rsidRDefault="00AF62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D1" w:rsidRDefault="00AF62D1" w:rsidP="00024151">
      <w:r>
        <w:separator/>
      </w:r>
    </w:p>
  </w:footnote>
  <w:footnote w:type="continuationSeparator" w:id="0">
    <w:p w:rsidR="00AF62D1" w:rsidRDefault="00AF62D1" w:rsidP="00024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8D3"/>
    <w:rsid w:val="00002079"/>
    <w:rsid w:val="00024151"/>
    <w:rsid w:val="000315D5"/>
    <w:rsid w:val="000E65FF"/>
    <w:rsid w:val="001248D3"/>
    <w:rsid w:val="001C0D5B"/>
    <w:rsid w:val="002901D2"/>
    <w:rsid w:val="00357AC7"/>
    <w:rsid w:val="003D01B8"/>
    <w:rsid w:val="003F6430"/>
    <w:rsid w:val="00406D42"/>
    <w:rsid w:val="004B39AB"/>
    <w:rsid w:val="004E3629"/>
    <w:rsid w:val="00507489"/>
    <w:rsid w:val="005235F2"/>
    <w:rsid w:val="00570227"/>
    <w:rsid w:val="005F1F8B"/>
    <w:rsid w:val="00603873"/>
    <w:rsid w:val="00610ED1"/>
    <w:rsid w:val="006173A1"/>
    <w:rsid w:val="006464C4"/>
    <w:rsid w:val="00867BD3"/>
    <w:rsid w:val="008E1431"/>
    <w:rsid w:val="00960462"/>
    <w:rsid w:val="0096057C"/>
    <w:rsid w:val="009611C9"/>
    <w:rsid w:val="00964817"/>
    <w:rsid w:val="009B3C5A"/>
    <w:rsid w:val="00AE435F"/>
    <w:rsid w:val="00AF62D1"/>
    <w:rsid w:val="00B3688E"/>
    <w:rsid w:val="00BA1788"/>
    <w:rsid w:val="00C264EA"/>
    <w:rsid w:val="00C43B5F"/>
    <w:rsid w:val="00CD6A21"/>
    <w:rsid w:val="00CE0CB3"/>
    <w:rsid w:val="00CE30FD"/>
    <w:rsid w:val="00CE4139"/>
    <w:rsid w:val="00E2042F"/>
    <w:rsid w:val="00E23608"/>
    <w:rsid w:val="00E4664E"/>
    <w:rsid w:val="00EB5EAD"/>
    <w:rsid w:val="00F00C7F"/>
    <w:rsid w:val="00F34CCC"/>
    <w:rsid w:val="00F3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248D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CE4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41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415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241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15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912</Words>
  <Characters>5202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Андрей Владимирович</dc:creator>
  <cp:keywords/>
  <dc:description/>
  <cp:lastModifiedBy>kucherenko</cp:lastModifiedBy>
  <cp:revision>30</cp:revision>
  <dcterms:created xsi:type="dcterms:W3CDTF">2014-11-06T08:11:00Z</dcterms:created>
  <dcterms:modified xsi:type="dcterms:W3CDTF">2014-11-06T13:15:00Z</dcterms:modified>
</cp:coreProperties>
</file>